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CBBF3" w14:textId="0DC837A9" w:rsidR="00C647EA" w:rsidRPr="006766B2" w:rsidRDefault="00C647EA" w:rsidP="00C647EA">
      <w:pPr>
        <w:pStyle w:val="3GPPHeader"/>
        <w:spacing w:after="60"/>
        <w:rPr>
          <w:szCs w:val="24"/>
          <w:lang w:val="en-US"/>
        </w:rPr>
      </w:pPr>
      <w:r w:rsidRPr="00E2527A">
        <w:t>3GPP TSG RAN WG1 #</w:t>
      </w:r>
      <w:r w:rsidRPr="006766B2">
        <w:rPr>
          <w:szCs w:val="24"/>
        </w:rPr>
        <w:t>105-e</w:t>
      </w:r>
      <w:r w:rsidRPr="006766B2">
        <w:rPr>
          <w:szCs w:val="24"/>
        </w:rPr>
        <w:tab/>
      </w:r>
      <w:r w:rsidR="00186D22" w:rsidRPr="006766B2">
        <w:rPr>
          <w:szCs w:val="24"/>
        </w:rPr>
        <w:t>R1-2105899</w:t>
      </w:r>
    </w:p>
    <w:p w14:paraId="71F303D5" w14:textId="77777777" w:rsidR="00C647EA" w:rsidRPr="006766B2" w:rsidRDefault="00C647EA" w:rsidP="00C647EA">
      <w:pPr>
        <w:tabs>
          <w:tab w:val="center" w:pos="4536"/>
          <w:tab w:val="right" w:pos="9072"/>
        </w:tabs>
        <w:rPr>
          <w:rFonts w:ascii="Arial" w:eastAsia="MS Mincho" w:hAnsi="Arial" w:cs="Arial"/>
          <w:b/>
          <w:bCs/>
          <w:sz w:val="24"/>
          <w:szCs w:val="24"/>
        </w:rPr>
      </w:pPr>
      <w:bookmarkStart w:id="0" w:name="_Hlk71268639"/>
      <w:r w:rsidRPr="006766B2">
        <w:rPr>
          <w:rFonts w:ascii="Arial" w:eastAsia="MS Mincho" w:hAnsi="Arial" w:cs="Arial"/>
          <w:b/>
          <w:bCs/>
          <w:sz w:val="24"/>
          <w:szCs w:val="24"/>
        </w:rPr>
        <w:t>e-Meeting, May 10</w:t>
      </w:r>
      <w:r w:rsidRPr="006766B2">
        <w:rPr>
          <w:rFonts w:ascii="Arial" w:eastAsia="MS Mincho" w:hAnsi="Arial" w:cs="Arial"/>
          <w:b/>
          <w:bCs/>
          <w:sz w:val="24"/>
          <w:szCs w:val="24"/>
          <w:vertAlign w:val="superscript"/>
        </w:rPr>
        <w:t>th</w:t>
      </w:r>
      <w:r w:rsidRPr="006766B2">
        <w:rPr>
          <w:rFonts w:ascii="Arial" w:eastAsia="MS Mincho" w:hAnsi="Arial" w:cs="Arial"/>
          <w:b/>
          <w:bCs/>
          <w:sz w:val="24"/>
          <w:szCs w:val="24"/>
        </w:rPr>
        <w:t xml:space="preserve"> – 27</w:t>
      </w:r>
      <w:r w:rsidRPr="006766B2">
        <w:rPr>
          <w:rFonts w:ascii="Arial" w:eastAsia="MS Mincho" w:hAnsi="Arial" w:cs="Arial"/>
          <w:b/>
          <w:bCs/>
          <w:sz w:val="24"/>
          <w:szCs w:val="24"/>
          <w:vertAlign w:val="superscript"/>
        </w:rPr>
        <w:t>th</w:t>
      </w:r>
      <w:r w:rsidRPr="006766B2">
        <w:rPr>
          <w:rFonts w:ascii="Arial" w:eastAsia="MS Mincho" w:hAnsi="Arial" w:cs="Arial"/>
          <w:b/>
          <w:bCs/>
          <w:sz w:val="24"/>
          <w:szCs w:val="24"/>
        </w:rPr>
        <w:t>, 2021</w:t>
      </w:r>
      <w:bookmarkEnd w:id="0"/>
    </w:p>
    <w:p w14:paraId="4EB71363" w14:textId="77777777" w:rsidR="00460FC6" w:rsidRPr="00C042C7" w:rsidRDefault="00460FC6" w:rsidP="00460FC6">
      <w:pPr>
        <w:pStyle w:val="3GPPHeader"/>
      </w:pPr>
    </w:p>
    <w:p w14:paraId="606F9DFF" w14:textId="7017AA6C" w:rsidR="00460FC6" w:rsidRPr="000606A1" w:rsidRDefault="00460FC6" w:rsidP="00460FC6">
      <w:pPr>
        <w:pStyle w:val="3GPPHeader"/>
        <w:rPr>
          <w:sz w:val="22"/>
          <w:szCs w:val="22"/>
        </w:rPr>
      </w:pPr>
      <w:r w:rsidRPr="00C042C7">
        <w:rPr>
          <w:sz w:val="22"/>
          <w:szCs w:val="22"/>
          <w:lang w:val="en-US"/>
        </w:rPr>
        <w:t>Agenda Item:</w:t>
      </w:r>
      <w:r w:rsidRPr="00C042C7">
        <w:rPr>
          <w:sz w:val="22"/>
          <w:szCs w:val="22"/>
          <w:lang w:val="en-US"/>
        </w:rPr>
        <w:tab/>
      </w:r>
      <w:r w:rsidR="00951DC5">
        <w:rPr>
          <w:sz w:val="22"/>
          <w:szCs w:val="22"/>
        </w:rPr>
        <w:t>5</w:t>
      </w:r>
    </w:p>
    <w:p w14:paraId="350D2218" w14:textId="77777777" w:rsidR="00460FC6" w:rsidRPr="00E70636" w:rsidRDefault="00460FC6" w:rsidP="00460FC6">
      <w:pPr>
        <w:pStyle w:val="3GPPHeader"/>
        <w:rPr>
          <w:sz w:val="22"/>
          <w:szCs w:val="22"/>
        </w:rPr>
      </w:pPr>
      <w:r w:rsidRPr="00E70636">
        <w:rPr>
          <w:sz w:val="22"/>
          <w:szCs w:val="22"/>
        </w:rPr>
        <w:t>Source:</w:t>
      </w:r>
      <w:r w:rsidRPr="00E70636">
        <w:rPr>
          <w:sz w:val="22"/>
          <w:szCs w:val="22"/>
        </w:rPr>
        <w:tab/>
        <w:t>Ericsson</w:t>
      </w:r>
    </w:p>
    <w:p w14:paraId="53E1C01E" w14:textId="7FEDED64" w:rsidR="00460FC6" w:rsidRPr="00230E31" w:rsidRDefault="00460FC6" w:rsidP="00951DC5">
      <w:pPr>
        <w:pStyle w:val="3GPPHeader"/>
        <w:ind w:left="1701" w:hanging="1701"/>
        <w:rPr>
          <w:sz w:val="22"/>
          <w:szCs w:val="22"/>
          <w:lang w:val="en-150"/>
        </w:rPr>
      </w:pPr>
      <w:r w:rsidRPr="00E70636">
        <w:rPr>
          <w:sz w:val="22"/>
          <w:szCs w:val="22"/>
        </w:rPr>
        <w:t>Title:</w:t>
      </w:r>
      <w:r w:rsidRPr="00E70636">
        <w:rPr>
          <w:sz w:val="22"/>
          <w:szCs w:val="22"/>
        </w:rPr>
        <w:tab/>
      </w:r>
      <w:r w:rsidR="00951DC5">
        <w:rPr>
          <w:sz w:val="22"/>
          <w:szCs w:val="22"/>
        </w:rPr>
        <w:t xml:space="preserve">Discussion on </w:t>
      </w:r>
      <w:r w:rsidR="00951DC5" w:rsidRPr="00951DC5">
        <w:rPr>
          <w:sz w:val="22"/>
          <w:szCs w:val="22"/>
        </w:rPr>
        <w:t xml:space="preserve">RAN2 </w:t>
      </w:r>
      <w:r w:rsidR="00066E44" w:rsidRPr="00066E44">
        <w:rPr>
          <w:sz w:val="22"/>
          <w:szCs w:val="22"/>
        </w:rPr>
        <w:t>LS on PUCCH reporting and for minimum</w:t>
      </w:r>
      <w:r w:rsidR="00066E44">
        <w:rPr>
          <w:sz w:val="22"/>
          <w:szCs w:val="22"/>
        </w:rPr>
        <w:t xml:space="preserve"> time gap</w:t>
      </w:r>
      <w:r w:rsidR="00230E31">
        <w:rPr>
          <w:sz w:val="22"/>
          <w:szCs w:val="22"/>
          <w:lang w:val="en-150"/>
        </w:rPr>
        <w:t xml:space="preserve"> for V2X</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13F63C21" w14:textId="2615BF15" w:rsidR="001C5EA9" w:rsidRDefault="00066E44" w:rsidP="001C5EA9">
      <w:pPr>
        <w:rPr>
          <w:lang w:val="en-US"/>
        </w:rPr>
      </w:pPr>
      <w:r>
        <w:rPr>
          <w:lang w:val="en-US"/>
        </w:rPr>
        <w:t xml:space="preserve">RAN1 received the LS in </w:t>
      </w:r>
      <w:r w:rsidRPr="00066E44">
        <w:rPr>
          <w:lang w:val="en-US"/>
        </w:rPr>
        <w:t xml:space="preserve">R1-2104559 (R2-2104475) </w:t>
      </w:r>
      <w:r w:rsidR="008A0F7B">
        <w:rPr>
          <w:lang w:val="en-US"/>
        </w:rPr>
        <w:t>with the following question:</w:t>
      </w:r>
    </w:p>
    <w:tbl>
      <w:tblPr>
        <w:tblStyle w:val="TableGrid"/>
        <w:tblW w:w="0" w:type="auto"/>
        <w:tblLook w:val="04A0" w:firstRow="1" w:lastRow="0" w:firstColumn="1" w:lastColumn="0" w:noHBand="0" w:noVBand="1"/>
      </w:tblPr>
      <w:tblGrid>
        <w:gridCol w:w="9629"/>
      </w:tblGrid>
      <w:tr w:rsidR="008A0F7B" w14:paraId="62434E50" w14:textId="77777777" w:rsidTr="008A0F7B">
        <w:tc>
          <w:tcPr>
            <w:tcW w:w="9629" w:type="dxa"/>
          </w:tcPr>
          <w:p w14:paraId="21D2A4A9" w14:textId="77777777" w:rsidR="008A0F7B" w:rsidRPr="008A0F7B" w:rsidRDefault="008A0F7B" w:rsidP="008A0F7B">
            <w:pPr>
              <w:overflowPunct/>
              <w:autoSpaceDE/>
              <w:autoSpaceDN/>
              <w:adjustRightInd/>
              <w:spacing w:beforeLines="50" w:before="120" w:afterLines="50" w:after="120" w:line="276" w:lineRule="auto"/>
              <w:textAlignment w:val="auto"/>
              <w:rPr>
                <w:rFonts w:ascii="Arial" w:eastAsia="DengXian" w:hAnsi="Arial" w:cs="Arial"/>
                <w:lang w:eastAsia="zh-CN"/>
              </w:rPr>
            </w:pPr>
            <w:r w:rsidRPr="008A0F7B">
              <w:rPr>
                <w:rFonts w:ascii="Arial" w:eastAsia="DengXian" w:hAnsi="Arial" w:cs="Arial"/>
                <w:lang w:eastAsia="zh-CN"/>
              </w:rPr>
              <w:t>Besides, in the current MAC specification TS 38.321, it is captured for mode 2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8A0F7B" w:rsidRPr="008A0F7B" w14:paraId="311675FF" w14:textId="77777777" w:rsidTr="008A0F7B">
              <w:tc>
                <w:tcPr>
                  <w:tcW w:w="9855" w:type="dxa"/>
                  <w:tcBorders>
                    <w:top w:val="single" w:sz="4" w:space="0" w:color="auto"/>
                    <w:left w:val="single" w:sz="4" w:space="0" w:color="auto"/>
                    <w:bottom w:val="single" w:sz="4" w:space="0" w:color="auto"/>
                    <w:right w:val="single" w:sz="4" w:space="0" w:color="auto"/>
                  </w:tcBorders>
                  <w:hideMark/>
                </w:tcPr>
                <w:p w14:paraId="2903AA75" w14:textId="77777777" w:rsidR="008A0F7B" w:rsidRPr="008A0F7B" w:rsidRDefault="008A0F7B" w:rsidP="008A0F7B">
                  <w:pPr>
                    <w:rPr>
                      <w:rFonts w:eastAsia="DengXian"/>
                      <w:lang w:eastAsia="en-US"/>
                    </w:rPr>
                  </w:pPr>
                  <w:bookmarkStart w:id="1" w:name="_Toc60791815"/>
                  <w:bookmarkStart w:id="2" w:name="_Toc52796536"/>
                  <w:bookmarkStart w:id="3" w:name="_Toc52752074"/>
                  <w:bookmarkStart w:id="4" w:name="_Toc46490379"/>
                  <w:r w:rsidRPr="008A0F7B">
                    <w:rPr>
                      <w:rFonts w:eastAsia="DengXian"/>
                      <w:lang w:eastAsia="en-US"/>
                    </w:rPr>
                    <w:t>5.22.1.2 TX resource (re-)selection check</w:t>
                  </w:r>
                  <w:bookmarkEnd w:id="1"/>
                  <w:bookmarkEnd w:id="2"/>
                  <w:bookmarkEnd w:id="3"/>
                  <w:bookmarkEnd w:id="4"/>
                </w:p>
                <w:p w14:paraId="0CAF13CA" w14:textId="77777777" w:rsidR="008A0F7B" w:rsidRPr="008A0F7B" w:rsidRDefault="008A0F7B" w:rsidP="008A0F7B">
                  <w:pPr>
                    <w:rPr>
                      <w:rFonts w:eastAsia="Malgun Gothic"/>
                      <w:lang w:eastAsia="ko-KR"/>
                    </w:rPr>
                  </w:pPr>
                  <w:r w:rsidRPr="008A0F7B">
                    <w:rPr>
                      <w:rFonts w:eastAsia="Malgun Gothic"/>
                      <w:lang w:eastAsia="ko-KR"/>
                    </w:rPr>
                    <w:t>[…]</w:t>
                  </w:r>
                </w:p>
                <w:p w14:paraId="3396D239" w14:textId="77777777" w:rsidR="008A0F7B" w:rsidRPr="008A0F7B" w:rsidRDefault="008A0F7B" w:rsidP="008A0F7B">
                  <w:pPr>
                    <w:rPr>
                      <w:rFonts w:eastAsia="Malgun Gothic"/>
                      <w:lang w:eastAsia="ko-KR"/>
                    </w:rPr>
                  </w:pPr>
                  <w:r w:rsidRPr="008A0F7B">
                    <w:rPr>
                      <w:rFonts w:eastAsia="Malgun Gothic"/>
                      <w:lang w:eastAsia="ko-KR"/>
                    </w:rPr>
                    <w:t>1&gt;</w:t>
                  </w:r>
                  <w:r w:rsidRPr="008A0F7B">
                    <w:rPr>
                      <w:rFonts w:eastAsia="Malgun Gothic"/>
                      <w:lang w:eastAsia="ko-KR"/>
                    </w:rPr>
                    <w:tab/>
                    <w:t>if retransmission of a MAC PDU on the selected sidelink grant has been dropped by either sidelink congestion control as specified in clause 8.1.6 of TS 38.214 or de-prioritization as specified in clause 16.2.4 of TS 38.213 [6], clause 5.4.2.2 of TS 36.321 [22] and clause 5.4.2.2:</w:t>
                  </w:r>
                </w:p>
                <w:p w14:paraId="3C0BA422" w14:textId="77777777" w:rsidR="008A0F7B" w:rsidRPr="008A0F7B" w:rsidRDefault="008A0F7B" w:rsidP="008A0F7B">
                  <w:pPr>
                    <w:textAlignment w:val="auto"/>
                    <w:rPr>
                      <w:sz w:val="22"/>
                      <w:szCs w:val="22"/>
                      <w:lang w:eastAsia="en-GB"/>
                    </w:rPr>
                  </w:pPr>
                  <w:r w:rsidRPr="008A0F7B">
                    <w:rPr>
                      <w:sz w:val="22"/>
                      <w:szCs w:val="22"/>
                      <w:lang w:eastAsia="en-GB"/>
                    </w:rPr>
                    <w:t>2&gt;</w:t>
                  </w:r>
                  <w:r w:rsidRPr="008A0F7B">
                    <w:rPr>
                      <w:sz w:val="22"/>
                      <w:szCs w:val="22"/>
                      <w:lang w:eastAsia="en-GB"/>
                    </w:rPr>
                    <w:tab/>
                    <w:t>remove the resource(s) from the selected sidelink grant associated to the Sidelink process, if the</w:t>
                  </w:r>
                  <w:r w:rsidRPr="008A0F7B">
                    <w:rPr>
                      <w:rFonts w:eastAsia="Malgun Gothic"/>
                      <w:sz w:val="22"/>
                      <w:szCs w:val="22"/>
                      <w:lang w:eastAsia="ko-KR"/>
                    </w:rPr>
                    <w:t xml:space="preserve"> resource(s) of the selected sidelink grant is indicated for re-evaluation or pre-emption by the physical layer</w:t>
                  </w:r>
                  <w:r w:rsidRPr="008A0F7B">
                    <w:rPr>
                      <w:sz w:val="22"/>
                      <w:szCs w:val="22"/>
                      <w:lang w:eastAsia="en-GB"/>
                    </w:rPr>
                    <w:t>;</w:t>
                  </w:r>
                </w:p>
                <w:p w14:paraId="25A47482" w14:textId="77777777" w:rsidR="008A0F7B" w:rsidRPr="008A0F7B" w:rsidRDefault="008A0F7B" w:rsidP="008A0F7B">
                  <w:pPr>
                    <w:textAlignment w:val="auto"/>
                    <w:rPr>
                      <w:sz w:val="22"/>
                      <w:szCs w:val="22"/>
                      <w:lang w:eastAsia="en-GB"/>
                    </w:rPr>
                  </w:pPr>
                  <w:r w:rsidRPr="008A0F7B">
                    <w:rPr>
                      <w:rFonts w:eastAsia="Malgun Gothic"/>
                      <w:sz w:val="22"/>
                      <w:szCs w:val="22"/>
                      <w:lang w:eastAsia="ko-KR"/>
                    </w:rPr>
                    <w:t>2&gt;</w:t>
                  </w:r>
                  <w:r w:rsidRPr="008A0F7B">
                    <w:rPr>
                      <w:rFonts w:eastAsia="Malgun Gothic"/>
                      <w:sz w:val="22"/>
                      <w:szCs w:val="22"/>
                      <w:lang w:eastAsia="ko-KR"/>
                    </w:rPr>
                    <w:tab/>
                  </w:r>
                  <w:r w:rsidRPr="008A0F7B">
                    <w:rPr>
                      <w:sz w:val="22"/>
                      <w:szCs w:val="22"/>
                      <w:lang w:eastAsia="en-GB"/>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w:t>
                  </w:r>
                  <w:r w:rsidRPr="008A0F7B">
                    <w:rPr>
                      <w:sz w:val="22"/>
                      <w:szCs w:val="22"/>
                      <w:highlight w:val="yellow"/>
                      <w:lang w:eastAsia="en-GB"/>
                    </w:rPr>
                    <w:t>in case that PSFCH is configured for this pool of resources</w:t>
                  </w:r>
                  <w:r w:rsidRPr="008A0F7B">
                    <w:rPr>
                      <w:sz w:val="22"/>
                      <w:szCs w:val="22"/>
                      <w:lang w:eastAsia="en-GB"/>
                    </w:rPr>
                    <w:t xml:space="preserve">, and that a resource can be indicated by the time resource assignment of a SCI for </w:t>
                  </w:r>
                  <w:r w:rsidRPr="008A0F7B">
                    <w:rPr>
                      <w:rFonts w:eastAsia="Malgun Gothic"/>
                      <w:sz w:val="22"/>
                      <w:szCs w:val="22"/>
                      <w:lang w:eastAsia="ko-KR"/>
                    </w:rPr>
                    <w:t>a retransmission</w:t>
                  </w:r>
                  <w:r w:rsidRPr="008A0F7B">
                    <w:rPr>
                      <w:sz w:val="22"/>
                      <w:szCs w:val="22"/>
                      <w:lang w:eastAsia="en-GB"/>
                    </w:rPr>
                    <w:t xml:space="preserve"> according to clause 8.3.1.1 of TS 38.212 [9];</w:t>
                  </w:r>
                </w:p>
              </w:tc>
            </w:tr>
          </w:tbl>
          <w:p w14:paraId="45B97826" w14:textId="77777777" w:rsidR="008A0F7B" w:rsidRPr="008A0F7B" w:rsidRDefault="008A0F7B" w:rsidP="008A0F7B">
            <w:pPr>
              <w:overflowPunct/>
              <w:autoSpaceDE/>
              <w:autoSpaceDN/>
              <w:adjustRightInd/>
              <w:spacing w:after="0" w:line="276" w:lineRule="auto"/>
              <w:textAlignment w:val="auto"/>
              <w:rPr>
                <w:rFonts w:ascii="Arial" w:eastAsia="DengXian" w:hAnsi="Arial" w:cs="Arial"/>
                <w:bCs/>
                <w:lang w:eastAsia="en-US"/>
              </w:rPr>
            </w:pPr>
          </w:p>
          <w:p w14:paraId="774332B4" w14:textId="77777777" w:rsidR="008A0F7B" w:rsidRPr="008A0F7B" w:rsidRDefault="008A0F7B" w:rsidP="008A0F7B">
            <w:pPr>
              <w:overflowPunct/>
              <w:autoSpaceDE/>
              <w:autoSpaceDN/>
              <w:adjustRightInd/>
              <w:spacing w:after="0" w:line="276" w:lineRule="auto"/>
              <w:textAlignment w:val="auto"/>
              <w:rPr>
                <w:rFonts w:ascii="Arial" w:eastAsia="DengXian" w:hAnsi="Arial" w:cs="Arial"/>
                <w:lang w:val="en-US" w:eastAsia="en-US"/>
              </w:rPr>
            </w:pPr>
            <w:r w:rsidRPr="008A0F7B">
              <w:rPr>
                <w:rFonts w:ascii="Arial" w:eastAsia="DengXian" w:hAnsi="Arial" w:cs="Arial"/>
                <w:lang w:val="en-US" w:eastAsia="en-US"/>
              </w:rPr>
              <w:t xml:space="preserve">i.e., the minimum time gap between any two selected resources of the selected sidelink grant is ensured as long as </w:t>
            </w:r>
            <w:r w:rsidRPr="008A0F7B">
              <w:rPr>
                <w:rFonts w:ascii="Arial" w:eastAsia="DengXian" w:hAnsi="Arial" w:cs="Arial"/>
                <w:b/>
                <w:lang w:val="en-US" w:eastAsia="en-US"/>
              </w:rPr>
              <w:t>PSFCH is configured for the pool</w:t>
            </w:r>
            <w:r w:rsidRPr="008A0F7B">
              <w:rPr>
                <w:rFonts w:ascii="Arial" w:eastAsia="DengXian" w:hAnsi="Arial" w:cs="Arial"/>
                <w:lang w:val="en-US" w:eastAsia="en-US"/>
              </w:rPr>
              <w:t xml:space="preserve"> when the UE performs resource (re-)selection. </w:t>
            </w:r>
            <w:r w:rsidRPr="008A0F7B">
              <w:rPr>
                <w:rFonts w:ascii="Arial" w:eastAsia="DengXian" w:hAnsi="Arial" w:cs="Arial"/>
                <w:bCs/>
                <w:lang w:eastAsia="en-US"/>
              </w:rPr>
              <w:t xml:space="preserve">The </w:t>
            </w:r>
            <w:r w:rsidRPr="008A0F7B">
              <w:rPr>
                <w:rFonts w:ascii="Arial" w:eastAsia="DengXian" w:hAnsi="Arial" w:cs="Arial"/>
                <w:bCs/>
                <w:lang w:eastAsia="zh-CN"/>
              </w:rPr>
              <w:t xml:space="preserve">current text is specified considering that </w:t>
            </w:r>
            <w:r w:rsidRPr="008A0F7B">
              <w:rPr>
                <w:rFonts w:ascii="Arial" w:eastAsia="DengXian" w:hAnsi="Arial" w:cs="Arial"/>
                <w:bCs/>
                <w:lang w:eastAsia="en-US"/>
              </w:rPr>
              <w:t xml:space="preserve">when the UE performs resource (re-)selection, it may not be able to predict the necessity of HARQ feedback until later when the MAC PDU is generated (as captured in TS 38.321 section 5.22.1.4.1.2). In other words, if the UE performing resource (re-)selection decides that there is no need for HARQ feedback and thus no need to secure minimum gap, but later when generating MAC PDU realizes that HARQ feedback is actually needed for the MAC PDU, </w:t>
            </w:r>
            <w:r w:rsidRPr="008A0F7B">
              <w:rPr>
                <w:rFonts w:ascii="Arial" w:eastAsia="DengXian" w:hAnsi="Arial" w:cs="Arial"/>
                <w:bCs/>
                <w:lang w:eastAsia="zh-CN"/>
              </w:rPr>
              <w:t>it may not be possible to perform transmissions on that (re-)selected resource due to not satisfying the minimum time gap</w:t>
            </w:r>
            <w:r w:rsidRPr="008A0F7B">
              <w:rPr>
                <w:rFonts w:ascii="Arial" w:eastAsia="DengXian" w:hAnsi="Arial" w:cs="Arial"/>
                <w:bCs/>
                <w:lang w:eastAsia="en-US"/>
              </w:rPr>
              <w:t>.</w:t>
            </w:r>
          </w:p>
          <w:p w14:paraId="67FD089E" w14:textId="77777777" w:rsidR="008A0F7B" w:rsidRPr="008A0F7B" w:rsidRDefault="008A0F7B" w:rsidP="008A0F7B">
            <w:pPr>
              <w:overflowPunct/>
              <w:autoSpaceDE/>
              <w:autoSpaceDN/>
              <w:adjustRightInd/>
              <w:spacing w:beforeLines="50" w:before="120" w:after="0" w:line="276" w:lineRule="auto"/>
              <w:textAlignment w:val="auto"/>
              <w:rPr>
                <w:rFonts w:ascii="Arial" w:eastAsia="DengXian" w:hAnsi="Arial" w:cs="Arial"/>
                <w:bCs/>
                <w:lang w:eastAsia="en-US"/>
              </w:rPr>
            </w:pPr>
            <w:r w:rsidRPr="008A0F7B">
              <w:rPr>
                <w:rFonts w:ascii="Arial" w:eastAsia="DengXian" w:hAnsi="Arial" w:cs="Arial"/>
                <w:bCs/>
                <w:lang w:eastAsia="en-US"/>
              </w:rPr>
              <w:t>RAN2 understands that it is not aligned with RAN1 agreement made in RAN1 #100-e meeting and thus discussed the issue in RAN2#113, but with no consensus to change MAC specification to align with RAN1 agreement.</w:t>
            </w:r>
          </w:p>
          <w:p w14:paraId="71407E85" w14:textId="77777777" w:rsidR="008A0F7B" w:rsidRPr="008A0F7B" w:rsidRDefault="008A0F7B" w:rsidP="008A0F7B">
            <w:pPr>
              <w:pBdr>
                <w:top w:val="single" w:sz="4" w:space="1" w:color="auto"/>
                <w:left w:val="single" w:sz="4" w:space="1" w:color="auto"/>
                <w:bottom w:val="single" w:sz="4" w:space="1" w:color="auto"/>
                <w:right w:val="single" w:sz="4" w:space="1" w:color="auto"/>
              </w:pBdr>
              <w:overflowPunct/>
              <w:autoSpaceDE/>
              <w:autoSpaceDN/>
              <w:adjustRightInd/>
              <w:spacing w:beforeLines="50" w:before="120" w:after="0"/>
              <w:textAlignment w:val="auto"/>
              <w:rPr>
                <w:rFonts w:eastAsia="DengXian"/>
                <w:highlight w:val="green"/>
                <w:lang w:eastAsia="en-US"/>
              </w:rPr>
            </w:pPr>
            <w:r w:rsidRPr="008A0F7B">
              <w:rPr>
                <w:rFonts w:eastAsia="DengXian"/>
                <w:highlight w:val="green"/>
                <w:lang w:eastAsia="en-US"/>
              </w:rPr>
              <w:t>RAN1 #100e Agreements:</w:t>
            </w:r>
          </w:p>
          <w:p w14:paraId="5242AE73" w14:textId="77777777" w:rsidR="008A0F7B" w:rsidRPr="008A0F7B" w:rsidRDefault="008A0F7B" w:rsidP="008A0F7B">
            <w:pPr>
              <w:widowControl w:val="0"/>
              <w:numPr>
                <w:ilvl w:val="1"/>
                <w:numId w:val="27"/>
              </w:numPr>
              <w:pBdr>
                <w:top w:val="single" w:sz="4" w:space="1" w:color="auto"/>
                <w:left w:val="single" w:sz="4" w:space="1" w:color="auto"/>
                <w:bottom w:val="single" w:sz="4" w:space="1" w:color="auto"/>
                <w:right w:val="single" w:sz="4" w:space="1" w:color="auto"/>
              </w:pBdr>
              <w:overflowPunct/>
              <w:autoSpaceDE/>
              <w:autoSpaceDN/>
              <w:adjustRightInd/>
              <w:snapToGrid w:val="0"/>
              <w:spacing w:beforeLines="50" w:before="120" w:after="0"/>
              <w:ind w:left="0" w:firstLine="0"/>
              <w:contextualSpacing/>
              <w:jc w:val="both"/>
              <w:textAlignment w:val="auto"/>
              <w:rPr>
                <w:rFonts w:ascii="DengXian" w:eastAsia="DengXian" w:hAnsi="DengXian" w:cs="Arial"/>
                <w:sz w:val="22"/>
                <w:szCs w:val="22"/>
                <w:lang w:eastAsia="en-US"/>
              </w:rPr>
            </w:pPr>
            <w:r w:rsidRPr="008A0F7B">
              <w:rPr>
                <w:rFonts w:ascii="DengXian" w:eastAsia="DengXian" w:hAnsi="DengXian" w:cs="Arial"/>
                <w:sz w:val="22"/>
                <w:szCs w:val="22"/>
                <w:lang w:eastAsia="en-US"/>
              </w:rPr>
              <w:t xml:space="preserve">In Step 2, a UE ensures a minimum time gap Z = a + b between any two selected resources </w:t>
            </w:r>
            <w:r w:rsidRPr="008A0F7B">
              <w:rPr>
                <w:rFonts w:ascii="DengXian" w:eastAsia="DengXian" w:hAnsi="DengXian" w:cs="Arial"/>
                <w:sz w:val="22"/>
                <w:szCs w:val="22"/>
                <w:lang w:eastAsia="en-US"/>
              </w:rPr>
              <w:lastRenderedPageBreak/>
              <w:t xml:space="preserve">of a TB </w:t>
            </w:r>
            <w:r w:rsidRPr="008A0F7B">
              <w:rPr>
                <w:rFonts w:ascii="DengXian" w:eastAsia="DengXian" w:hAnsi="DengXian" w:cs="Arial"/>
                <w:b/>
                <w:sz w:val="22"/>
                <w:szCs w:val="22"/>
                <w:highlight w:val="yellow"/>
                <w:lang w:eastAsia="en-US"/>
              </w:rPr>
              <w:t>where a HARQ feedback for the first of these resources is expected</w:t>
            </w:r>
            <w:r w:rsidRPr="008A0F7B">
              <w:rPr>
                <w:rFonts w:ascii="DengXian" w:eastAsia="DengXian" w:hAnsi="DengXian" w:cs="Arial"/>
                <w:sz w:val="22"/>
                <w:szCs w:val="22"/>
                <w:lang w:eastAsia="en-US"/>
              </w:rPr>
              <w:t xml:space="preserve"> </w:t>
            </w:r>
          </w:p>
          <w:p w14:paraId="632B4E9D" w14:textId="77777777" w:rsidR="008A0F7B" w:rsidRPr="008A0F7B" w:rsidRDefault="008A0F7B" w:rsidP="008A0F7B">
            <w:pPr>
              <w:widowControl w:val="0"/>
              <w:numPr>
                <w:ilvl w:val="2"/>
                <w:numId w:val="28"/>
              </w:numPr>
              <w:pBdr>
                <w:top w:val="single" w:sz="4" w:space="1" w:color="auto"/>
                <w:left w:val="single" w:sz="4" w:space="1" w:color="auto"/>
                <w:bottom w:val="single" w:sz="4" w:space="1" w:color="auto"/>
                <w:right w:val="single" w:sz="4" w:space="1" w:color="auto"/>
              </w:pBdr>
              <w:overflowPunct/>
              <w:autoSpaceDE/>
              <w:autoSpaceDN/>
              <w:adjustRightInd/>
              <w:snapToGrid w:val="0"/>
              <w:spacing w:beforeLines="50" w:before="120" w:after="0"/>
              <w:ind w:left="0" w:firstLine="0"/>
              <w:contextualSpacing/>
              <w:jc w:val="both"/>
              <w:textAlignment w:val="auto"/>
              <w:rPr>
                <w:rFonts w:ascii="DengXian" w:eastAsia="DengXian" w:hAnsi="DengXian" w:cs="Arial"/>
                <w:sz w:val="22"/>
                <w:szCs w:val="22"/>
                <w:lang w:eastAsia="en-US"/>
              </w:rPr>
            </w:pPr>
            <w:r w:rsidRPr="008A0F7B">
              <w:rPr>
                <w:rFonts w:ascii="DengXian" w:eastAsia="DengXian" w:hAnsi="DengXian" w:cs="Arial" w:hint="eastAsia"/>
                <w:sz w:val="22"/>
                <w:szCs w:val="22"/>
                <w:lang w:val="en-US" w:eastAsia="en-US"/>
              </w:rPr>
              <w:t>‘</w:t>
            </w:r>
            <w:r w:rsidRPr="008A0F7B">
              <w:rPr>
                <w:rFonts w:ascii="DengXian" w:eastAsia="DengXian" w:hAnsi="DengXian" w:cs="Arial"/>
                <w:sz w:val="22"/>
                <w:szCs w:val="22"/>
                <w:lang w:eastAsia="en-US"/>
              </w:rP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8A0F7B">
              <w:rPr>
                <w:rFonts w:ascii="DengXian" w:eastAsia="DengXian" w:hAnsi="DengXian" w:cs="Arial"/>
                <w:i/>
                <w:iCs/>
                <w:sz w:val="22"/>
                <w:szCs w:val="22"/>
                <w:lang w:eastAsia="en-US"/>
              </w:rPr>
              <w:t>MinTimeGapPSFCH</w:t>
            </w:r>
            <w:r w:rsidRPr="008A0F7B">
              <w:rPr>
                <w:rFonts w:ascii="DengXian" w:eastAsia="DengXian" w:hAnsi="DengXian" w:cs="Arial"/>
                <w:sz w:val="22"/>
                <w:szCs w:val="22"/>
                <w:lang w:eastAsia="en-US"/>
              </w:rPr>
              <w:t xml:space="preserve"> and </w:t>
            </w:r>
            <w:r w:rsidRPr="008A0F7B">
              <w:rPr>
                <w:rFonts w:ascii="DengXian" w:eastAsia="DengXian" w:hAnsi="DengXian" w:cs="Arial"/>
                <w:i/>
                <w:iCs/>
                <w:sz w:val="22"/>
                <w:szCs w:val="22"/>
                <w:lang w:eastAsia="en-US"/>
              </w:rPr>
              <w:t>periodPSFCHresource</w:t>
            </w:r>
            <w:r w:rsidRPr="008A0F7B">
              <w:rPr>
                <w:rFonts w:ascii="DengXian" w:eastAsia="DengXian" w:hAnsi="DengXian" w:cs="Arial"/>
                <w:sz w:val="22"/>
                <w:szCs w:val="22"/>
                <w:lang w:eastAsia="en-US"/>
              </w:rPr>
              <w:t xml:space="preserve"> </w:t>
            </w:r>
          </w:p>
          <w:p w14:paraId="0F73B8E7" w14:textId="77777777" w:rsidR="008A0F7B" w:rsidRPr="008A0F7B" w:rsidRDefault="008A0F7B" w:rsidP="008A0F7B">
            <w:pPr>
              <w:pBdr>
                <w:top w:val="single" w:sz="4" w:space="1" w:color="auto"/>
                <w:left w:val="single" w:sz="4" w:space="1" w:color="auto"/>
                <w:bottom w:val="single" w:sz="4" w:space="1" w:color="auto"/>
                <w:right w:val="single" w:sz="4" w:space="1" w:color="auto"/>
              </w:pBdr>
              <w:overflowPunct/>
              <w:autoSpaceDE/>
              <w:autoSpaceDN/>
              <w:adjustRightInd/>
              <w:spacing w:beforeLines="50" w:before="120" w:after="0" w:line="276" w:lineRule="auto"/>
              <w:textAlignment w:val="auto"/>
              <w:rPr>
                <w:rFonts w:ascii="Arial" w:eastAsia="DengXian" w:hAnsi="Arial" w:cs="Arial"/>
                <w:bCs/>
                <w:lang w:eastAsia="en-US"/>
              </w:rPr>
            </w:pPr>
            <w:r w:rsidRPr="008A0F7B">
              <w:rPr>
                <w:rFonts w:eastAsia="DengXian" w:hint="eastAsia"/>
                <w:lang w:val="en-US" w:eastAsia="en-US"/>
              </w:rPr>
              <w:t>‘</w:t>
            </w:r>
            <w:r w:rsidRPr="008A0F7B">
              <w:rPr>
                <w:rFonts w:eastAsia="DengXian"/>
                <w:lang w:eastAsia="en-US"/>
              </w:rPr>
              <w:t>b’ is a time required for PSFCH reception and processing plus sidelink retransmission preparation including multiplexing of necessary physical channels and any TX-RX/RX-TX switching time and is determined by UE implementation</w:t>
            </w:r>
          </w:p>
          <w:p w14:paraId="79844476" w14:textId="0DCA03D8" w:rsidR="008A0F7B" w:rsidRPr="008A0F7B" w:rsidRDefault="008A0F7B" w:rsidP="008A0F7B">
            <w:pPr>
              <w:overflowPunct/>
              <w:autoSpaceDE/>
              <w:autoSpaceDN/>
              <w:adjustRightInd/>
              <w:spacing w:beforeLines="50" w:before="120" w:after="0" w:line="276" w:lineRule="auto"/>
              <w:textAlignment w:val="auto"/>
              <w:rPr>
                <w:rFonts w:ascii="Arial" w:eastAsia="DengXian" w:hAnsi="Arial" w:cs="Arial"/>
                <w:lang w:eastAsia="zh-CN"/>
              </w:rPr>
            </w:pPr>
            <w:r w:rsidRPr="008A0F7B">
              <w:rPr>
                <w:rFonts w:ascii="Arial" w:eastAsia="DengXian" w:hAnsi="Arial" w:cs="Arial"/>
                <w:b/>
                <w:lang w:eastAsia="zh-CN"/>
              </w:rPr>
              <w:t>Q2</w:t>
            </w:r>
            <w:r w:rsidRPr="008A0F7B">
              <w:rPr>
                <w:rFonts w:ascii="Arial" w:eastAsia="DengXian" w:hAnsi="Arial" w:cs="Arial"/>
                <w:lang w:eastAsia="zh-CN"/>
              </w:rPr>
              <w:t xml:space="preserve">: </w:t>
            </w:r>
            <w:r w:rsidRPr="008A0F7B">
              <w:rPr>
                <w:rFonts w:ascii="Arial" w:eastAsia="DengXian" w:hAnsi="Arial" w:cs="Arial"/>
                <w:lang w:eastAsia="en-US"/>
              </w:rPr>
              <w:t xml:space="preserve">RAN2 respectfully requests RAN1 </w:t>
            </w:r>
            <w:r w:rsidRPr="008A0F7B">
              <w:rPr>
                <w:rFonts w:ascii="Arial" w:eastAsia="DengXian" w:hAnsi="Arial" w:cs="Arial"/>
                <w:lang w:eastAsia="zh-CN"/>
              </w:rPr>
              <w:t>to provide feedback in case of any concern on the MAC specification above.</w:t>
            </w:r>
          </w:p>
        </w:tc>
      </w:tr>
    </w:tbl>
    <w:p w14:paraId="2B504FF6" w14:textId="77777777" w:rsidR="008A0F7B" w:rsidRPr="001C5EA9" w:rsidRDefault="008A0F7B" w:rsidP="001C5EA9">
      <w:pPr>
        <w:rPr>
          <w:lang w:val="en-US"/>
        </w:rPr>
      </w:pPr>
    </w:p>
    <w:p w14:paraId="6868D469" w14:textId="778FD0E4" w:rsidR="00A54C07" w:rsidRDefault="001C5EA9" w:rsidP="00A54C07">
      <w:pPr>
        <w:pStyle w:val="Heading1"/>
        <w:rPr>
          <w:lang w:val="en-US"/>
        </w:rPr>
      </w:pPr>
      <w:r>
        <w:rPr>
          <w:lang w:val="en-US"/>
        </w:rPr>
        <w:t>2</w:t>
      </w:r>
      <w:r>
        <w:rPr>
          <w:lang w:val="en-US"/>
        </w:rPr>
        <w:tab/>
      </w:r>
      <w:r w:rsidR="00A54C07">
        <w:rPr>
          <w:lang w:val="en-US"/>
        </w:rPr>
        <w:t>Discussion</w:t>
      </w:r>
    </w:p>
    <w:p w14:paraId="18A9C0CD" w14:textId="77777777" w:rsidR="00A54C07" w:rsidRDefault="00A54C07" w:rsidP="00A54C07">
      <w:r>
        <w:t>As pointed out by RAN2, the specification text is not aligned with the above RAN1 agreement. RAN2 are concerned that consecutive resource may be selected without respecting the minimum HARQ RTT gap between them under the assumption that they are to be used for transmitting a TB without SL HARQ FB, but later be used to transmitting a TB with SL HARQ FB.</w:t>
      </w:r>
    </w:p>
    <w:p w14:paraId="4356273A" w14:textId="77777777" w:rsidR="00A54C07" w:rsidRDefault="00A54C07" w:rsidP="00A54C07">
      <w:r>
        <w:t xml:space="preserve">In our view, the concern by RAN2 is already addressed by the following agreements made by RAN1. </w:t>
      </w:r>
    </w:p>
    <w:tbl>
      <w:tblPr>
        <w:tblStyle w:val="TableGrid"/>
        <w:tblW w:w="0" w:type="auto"/>
        <w:tblLook w:val="04A0" w:firstRow="1" w:lastRow="0" w:firstColumn="1" w:lastColumn="0" w:noHBand="0" w:noVBand="1"/>
      </w:tblPr>
      <w:tblGrid>
        <w:gridCol w:w="9629"/>
      </w:tblGrid>
      <w:tr w:rsidR="00A54C07" w14:paraId="6336372F" w14:textId="77777777" w:rsidTr="008459AE">
        <w:tc>
          <w:tcPr>
            <w:tcW w:w="9629" w:type="dxa"/>
          </w:tcPr>
          <w:p w14:paraId="5B2BC318" w14:textId="77777777" w:rsidR="00A54C07" w:rsidRDefault="00A54C07" w:rsidP="008459AE">
            <w:pPr>
              <w:spacing w:before="240"/>
              <w:rPr>
                <w:highlight w:val="green"/>
              </w:rPr>
            </w:pPr>
            <w:r>
              <w:rPr>
                <w:highlight w:val="green"/>
              </w:rPr>
              <w:t>Agreements:</w:t>
            </w:r>
          </w:p>
          <w:p w14:paraId="38E8668E" w14:textId="77777777" w:rsidR="00A54C07" w:rsidRDefault="00A54C07" w:rsidP="00A54C07">
            <w:pPr>
              <w:pStyle w:val="ListParagraph"/>
              <w:numPr>
                <w:ilvl w:val="0"/>
                <w:numId w:val="29"/>
              </w:numPr>
              <w:contextualSpacing w:val="0"/>
            </w:pPr>
            <w:r>
              <w:t>It is up to UE implementation to reselect any pre-selected but not reserved resource which is still in the identified resource set after Step 1 in order to ensure the timing restrictions during reselection triggered by re-evaluation and/or pre-emption</w:t>
            </w:r>
          </w:p>
          <w:p w14:paraId="46B33292" w14:textId="77777777" w:rsidR="00A54C07" w:rsidRDefault="00A54C07" w:rsidP="00A54C07">
            <w:pPr>
              <w:pStyle w:val="ListParagraph"/>
              <w:numPr>
                <w:ilvl w:val="1"/>
                <w:numId w:val="29"/>
              </w:numPr>
              <w:contextualSpacing w:val="0"/>
            </w:pPr>
            <w:r>
              <w:t>The timing restrictions at least include the HARQ RTT related minimum gap Z agreed in RAN1#100e</w:t>
            </w:r>
          </w:p>
          <w:p w14:paraId="63A7F4D6" w14:textId="77777777" w:rsidR="00A54C07" w:rsidRDefault="00A54C07" w:rsidP="00A54C07">
            <w:pPr>
              <w:pStyle w:val="ListParagraph"/>
              <w:numPr>
                <w:ilvl w:val="1"/>
                <w:numId w:val="29"/>
              </w:numPr>
              <w:spacing w:after="240"/>
              <w:contextualSpacing w:val="0"/>
            </w:pPr>
            <w:r>
              <w:t>FFS how to handle the case that there is no resources satisfying the timing restrictions in the identified resource set after Step 1</w:t>
            </w:r>
          </w:p>
          <w:p w14:paraId="3D68A1DD" w14:textId="77777777" w:rsidR="00A54C07" w:rsidRPr="0013787B" w:rsidRDefault="00A54C07" w:rsidP="008459AE">
            <w:pPr>
              <w:rPr>
                <w:rFonts w:eastAsia="DengXian"/>
                <w:highlight w:val="green"/>
              </w:rPr>
            </w:pPr>
            <w:r w:rsidRPr="0013787B">
              <w:rPr>
                <w:highlight w:val="green"/>
              </w:rPr>
              <w:t>Agreements:</w:t>
            </w:r>
          </w:p>
          <w:p w14:paraId="7216793E" w14:textId="77777777" w:rsidR="00A54C07" w:rsidRDefault="00A54C07" w:rsidP="00A54C07">
            <w:pPr>
              <w:numPr>
                <w:ilvl w:val="0"/>
                <w:numId w:val="30"/>
              </w:numPr>
              <w:overflowPunct/>
              <w:autoSpaceDE/>
              <w:autoSpaceDN/>
              <w:adjustRightInd/>
              <w:textAlignment w:val="auto"/>
            </w:pPr>
            <w:r w:rsidRPr="0013787B">
              <w:t>In case a UE cannot find a resource in the identified candidate resource set fulfilling the minimum HARQ RTT time gap, it is up to UE implementation how to handle it but without violating the HARQ RTT minimum time gap</w:t>
            </w:r>
          </w:p>
        </w:tc>
      </w:tr>
    </w:tbl>
    <w:p w14:paraId="31EFE310" w14:textId="304FE7E8" w:rsidR="00A54C07" w:rsidRDefault="00A54C07" w:rsidP="00A54C07">
      <w:pPr>
        <w:spacing w:before="240"/>
      </w:pPr>
      <w:r>
        <w:t xml:space="preserve">Thus, there should be no problem with capturing the correct </w:t>
      </w:r>
      <w:r w:rsidR="000B0A3A">
        <w:t>behaviour</w:t>
      </w:r>
      <w:r>
        <w:t xml:space="preserve"> in the specification. We believe that RAN2 should align their specification with the RAN1 agreement.</w:t>
      </w:r>
    </w:p>
    <w:p w14:paraId="5AE6A03F" w14:textId="77777777" w:rsidR="00A54C07" w:rsidRDefault="00A54C07" w:rsidP="00A54C07">
      <w:pPr>
        <w:pStyle w:val="Proposal"/>
      </w:pPr>
      <w:bookmarkStart w:id="5" w:name="_Toc71624928"/>
      <w:r>
        <w:t>Request RAN2 to align the RAN2 specification with the RAN1 agreements.</w:t>
      </w:r>
      <w:bookmarkEnd w:id="5"/>
    </w:p>
    <w:p w14:paraId="5C9E7D02" w14:textId="57C43AFA" w:rsidR="00A54C07" w:rsidRPr="007C4695" w:rsidRDefault="00A54C07" w:rsidP="00A54C07">
      <w:pPr>
        <w:spacing w:before="240"/>
      </w:pPr>
      <w:r>
        <w:t xml:space="preserve">We have prepared a draft reply LS </w:t>
      </w:r>
      <w:r w:rsidRPr="000B0A3A">
        <w:t>in R1-210</w:t>
      </w:r>
      <w:r w:rsidR="000B0A3A" w:rsidRPr="000B0A3A">
        <w:rPr>
          <w:lang w:val="en-150"/>
        </w:rPr>
        <w:t>5898</w:t>
      </w:r>
      <w:r w:rsidRPr="000B0A3A">
        <w:t>.</w:t>
      </w:r>
    </w:p>
    <w:p w14:paraId="3A78632F" w14:textId="472E93B0" w:rsidR="008929E0" w:rsidRPr="008929E0" w:rsidRDefault="00A64764" w:rsidP="00A54C07">
      <w:pPr>
        <w:pStyle w:val="Heading1"/>
      </w:pPr>
      <w:r>
        <w:rPr>
          <w:lang w:val="en-US"/>
        </w:rPr>
        <w:t>3</w:t>
      </w:r>
      <w:r w:rsidR="00460FC6">
        <w:tab/>
      </w:r>
      <w:r w:rsidR="00460FC6" w:rsidRPr="00CE0424">
        <w:t>Conclusion</w:t>
      </w:r>
    </w:p>
    <w:p w14:paraId="66341ECC" w14:textId="7B6DB2FC"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2E471FC6" w14:textId="77777777" w:rsidR="00A54C07" w:rsidRDefault="00460FC6">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624928" w:history="1">
        <w:r w:rsidR="00A54C07" w:rsidRPr="00FB7716">
          <w:rPr>
            <w:rStyle w:val="Hyperlink"/>
            <w:noProof/>
          </w:rPr>
          <w:t>Proposal 1</w:t>
        </w:r>
        <w:r w:rsidR="00A54C07">
          <w:rPr>
            <w:rFonts w:asciiTheme="minorHAnsi" w:eastAsiaTheme="minorEastAsia" w:hAnsiTheme="minorHAnsi" w:cstheme="minorBidi"/>
            <w:b w:val="0"/>
            <w:noProof/>
            <w:sz w:val="22"/>
            <w:szCs w:val="22"/>
            <w:lang w:val="fi-FI" w:eastAsia="fi-FI"/>
          </w:rPr>
          <w:tab/>
        </w:r>
        <w:r w:rsidR="00A54C07" w:rsidRPr="00FB7716">
          <w:rPr>
            <w:rStyle w:val="Hyperlink"/>
            <w:noProof/>
          </w:rPr>
          <w:t>Request RAN2 to align the RAN2 specification with the RAN1 agreements.</w:t>
        </w:r>
      </w:hyperlink>
    </w:p>
    <w:p w14:paraId="6D937838" w14:textId="799AC2FF" w:rsidR="00D07748" w:rsidRPr="007C4695" w:rsidRDefault="00460FC6" w:rsidP="00A64764">
      <w:r>
        <w:rPr>
          <w:lang w:val="en-US"/>
        </w:rPr>
        <w:fldChar w:fldCharType="end"/>
      </w: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250AC" w14:textId="77777777" w:rsidR="00DF3CC8" w:rsidRDefault="00DF3CC8" w:rsidP="007538B8">
      <w:pPr>
        <w:spacing w:after="0"/>
      </w:pPr>
      <w:r>
        <w:separator/>
      </w:r>
    </w:p>
  </w:endnote>
  <w:endnote w:type="continuationSeparator" w:id="0">
    <w:p w14:paraId="03257946" w14:textId="77777777" w:rsidR="00DF3CC8" w:rsidRDefault="00DF3CC8" w:rsidP="007538B8">
      <w:pPr>
        <w:spacing w:after="0"/>
      </w:pPr>
      <w:r>
        <w:continuationSeparator/>
      </w:r>
    </w:p>
  </w:endnote>
  <w:endnote w:type="continuationNotice" w:id="1">
    <w:p w14:paraId="4C0FF761" w14:textId="77777777" w:rsidR="00DF3CC8" w:rsidRDefault="00DF3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Arial"/>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94165" w14:textId="77777777" w:rsidR="00DF3CC8" w:rsidRDefault="00DF3CC8" w:rsidP="007538B8">
      <w:pPr>
        <w:spacing w:after="0"/>
      </w:pPr>
      <w:r>
        <w:separator/>
      </w:r>
    </w:p>
  </w:footnote>
  <w:footnote w:type="continuationSeparator" w:id="0">
    <w:p w14:paraId="05EC62A2" w14:textId="77777777" w:rsidR="00DF3CC8" w:rsidRDefault="00DF3CC8" w:rsidP="007538B8">
      <w:pPr>
        <w:spacing w:after="0"/>
      </w:pPr>
      <w:r>
        <w:continuationSeparator/>
      </w:r>
    </w:p>
  </w:footnote>
  <w:footnote w:type="continuationNotice" w:id="1">
    <w:p w14:paraId="3F54B824" w14:textId="77777777" w:rsidR="00DF3CC8" w:rsidRDefault="00DF3C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7"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8"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3"/>
  </w:num>
  <w:num w:numId="4">
    <w:abstractNumId w:val="26"/>
  </w:num>
  <w:num w:numId="5">
    <w:abstractNumId w:val="19"/>
  </w:num>
  <w:num w:numId="6">
    <w:abstractNumId w:val="23"/>
  </w:num>
  <w:num w:numId="7">
    <w:abstractNumId w:val="22"/>
  </w:num>
  <w:num w:numId="8">
    <w:abstractNumId w:val="27"/>
  </w:num>
  <w:num w:numId="9">
    <w:abstractNumId w:val="1"/>
  </w:num>
  <w:num w:numId="10">
    <w:abstractNumId w:val="17"/>
  </w:num>
  <w:num w:numId="11">
    <w:abstractNumId w:val="18"/>
  </w:num>
  <w:num w:numId="12">
    <w:abstractNumId w:val="21"/>
  </w:num>
  <w:num w:numId="13">
    <w:abstractNumId w:val="6"/>
  </w:num>
  <w:num w:numId="14">
    <w:abstractNumId w:val="28"/>
  </w:num>
  <w:num w:numId="15">
    <w:abstractNumId w:val="11"/>
  </w:num>
  <w:num w:numId="16">
    <w:abstractNumId w:val="9"/>
  </w:num>
  <w:num w:numId="17">
    <w:abstractNumId w:val="2"/>
  </w:num>
  <w:num w:numId="18">
    <w:abstractNumId w:val="16"/>
  </w:num>
  <w:num w:numId="19">
    <w:abstractNumId w:val="0"/>
  </w:num>
  <w:num w:numId="20">
    <w:abstractNumId w:val="24"/>
  </w:num>
  <w:num w:numId="21">
    <w:abstractNumId w:val="12"/>
  </w:num>
  <w:num w:numId="22">
    <w:abstractNumId w:val="4"/>
  </w:num>
  <w:num w:numId="23">
    <w:abstractNumId w:val="7"/>
  </w:num>
  <w:num w:numId="24">
    <w:abstractNumId w:val="25"/>
  </w:num>
  <w:num w:numId="25">
    <w:abstractNumId w:val="3"/>
  </w:num>
  <w:num w:numId="26">
    <w:abstractNumId w:val="20"/>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CD9"/>
    <w:rsid w:val="000F16A6"/>
    <w:rsid w:val="000F16B7"/>
    <w:rsid w:val="000F2444"/>
    <w:rsid w:val="000F312B"/>
    <w:rsid w:val="000F3163"/>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7F4A"/>
    <w:rsid w:val="00110205"/>
    <w:rsid w:val="001106BA"/>
    <w:rsid w:val="001138FE"/>
    <w:rsid w:val="00113A2C"/>
    <w:rsid w:val="001144A7"/>
    <w:rsid w:val="00114587"/>
    <w:rsid w:val="00115913"/>
    <w:rsid w:val="00115DD5"/>
    <w:rsid w:val="00116266"/>
    <w:rsid w:val="00116DA1"/>
    <w:rsid w:val="00123352"/>
    <w:rsid w:val="0012358F"/>
    <w:rsid w:val="001246C1"/>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B73"/>
    <w:rsid w:val="00182632"/>
    <w:rsid w:val="0018412C"/>
    <w:rsid w:val="0018446D"/>
    <w:rsid w:val="001845F7"/>
    <w:rsid w:val="00186D22"/>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60B2"/>
    <w:rsid w:val="002165AE"/>
    <w:rsid w:val="00217BF0"/>
    <w:rsid w:val="00217E06"/>
    <w:rsid w:val="00220464"/>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73D"/>
    <w:rsid w:val="002C7E15"/>
    <w:rsid w:val="002D1DB6"/>
    <w:rsid w:val="002D24B6"/>
    <w:rsid w:val="002D5284"/>
    <w:rsid w:val="002D730F"/>
    <w:rsid w:val="002D7819"/>
    <w:rsid w:val="002D7ACB"/>
    <w:rsid w:val="002E29D1"/>
    <w:rsid w:val="002E2AA2"/>
    <w:rsid w:val="002E5C68"/>
    <w:rsid w:val="002E7D1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4D4C"/>
    <w:rsid w:val="0030579B"/>
    <w:rsid w:val="00305C5F"/>
    <w:rsid w:val="003064FA"/>
    <w:rsid w:val="00310483"/>
    <w:rsid w:val="00310535"/>
    <w:rsid w:val="003122B1"/>
    <w:rsid w:val="00313111"/>
    <w:rsid w:val="003133B6"/>
    <w:rsid w:val="003134D7"/>
    <w:rsid w:val="00316A66"/>
    <w:rsid w:val="00316B6E"/>
    <w:rsid w:val="00317EF7"/>
    <w:rsid w:val="0032040B"/>
    <w:rsid w:val="00320A06"/>
    <w:rsid w:val="00321E02"/>
    <w:rsid w:val="00322114"/>
    <w:rsid w:val="00322DDB"/>
    <w:rsid w:val="0032436B"/>
    <w:rsid w:val="00325049"/>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5357"/>
    <w:rsid w:val="003C5627"/>
    <w:rsid w:val="003C5935"/>
    <w:rsid w:val="003C5A94"/>
    <w:rsid w:val="003C5CBC"/>
    <w:rsid w:val="003C62C8"/>
    <w:rsid w:val="003C77F8"/>
    <w:rsid w:val="003D04DD"/>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502"/>
    <w:rsid w:val="004446DC"/>
    <w:rsid w:val="00447BB1"/>
    <w:rsid w:val="004517BE"/>
    <w:rsid w:val="00451F37"/>
    <w:rsid w:val="00452983"/>
    <w:rsid w:val="00453483"/>
    <w:rsid w:val="00455050"/>
    <w:rsid w:val="00457A26"/>
    <w:rsid w:val="00460FC6"/>
    <w:rsid w:val="004622A8"/>
    <w:rsid w:val="0046409F"/>
    <w:rsid w:val="004648FE"/>
    <w:rsid w:val="004677BC"/>
    <w:rsid w:val="00467BFE"/>
    <w:rsid w:val="004711F0"/>
    <w:rsid w:val="004735ED"/>
    <w:rsid w:val="004739D0"/>
    <w:rsid w:val="004741A8"/>
    <w:rsid w:val="00474DDA"/>
    <w:rsid w:val="004761E7"/>
    <w:rsid w:val="00477FDF"/>
    <w:rsid w:val="00480C12"/>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45B0"/>
    <w:rsid w:val="00544B33"/>
    <w:rsid w:val="00545E73"/>
    <w:rsid w:val="0054608A"/>
    <w:rsid w:val="0055024E"/>
    <w:rsid w:val="0055151C"/>
    <w:rsid w:val="00551533"/>
    <w:rsid w:val="005518C8"/>
    <w:rsid w:val="00551949"/>
    <w:rsid w:val="00551DA7"/>
    <w:rsid w:val="00553570"/>
    <w:rsid w:val="005535EC"/>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4A88"/>
    <w:rsid w:val="00576A15"/>
    <w:rsid w:val="00576CB0"/>
    <w:rsid w:val="0057728C"/>
    <w:rsid w:val="00577BAB"/>
    <w:rsid w:val="00580DD8"/>
    <w:rsid w:val="0058227A"/>
    <w:rsid w:val="00582ACB"/>
    <w:rsid w:val="005837F9"/>
    <w:rsid w:val="00583B2D"/>
    <w:rsid w:val="005850AD"/>
    <w:rsid w:val="00585133"/>
    <w:rsid w:val="00586173"/>
    <w:rsid w:val="005863A2"/>
    <w:rsid w:val="00587D1A"/>
    <w:rsid w:val="005900F9"/>
    <w:rsid w:val="00590C01"/>
    <w:rsid w:val="00592EAD"/>
    <w:rsid w:val="0059352E"/>
    <w:rsid w:val="0059416F"/>
    <w:rsid w:val="005945DA"/>
    <w:rsid w:val="005950DD"/>
    <w:rsid w:val="00595918"/>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63E0"/>
    <w:rsid w:val="005D6AE2"/>
    <w:rsid w:val="005D6D08"/>
    <w:rsid w:val="005E0B10"/>
    <w:rsid w:val="005E1A56"/>
    <w:rsid w:val="005E2314"/>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1C6F"/>
    <w:rsid w:val="00643222"/>
    <w:rsid w:val="0064327C"/>
    <w:rsid w:val="00643DBC"/>
    <w:rsid w:val="0064427A"/>
    <w:rsid w:val="00644313"/>
    <w:rsid w:val="006444C7"/>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378E"/>
    <w:rsid w:val="006B37C9"/>
    <w:rsid w:val="006B3C2B"/>
    <w:rsid w:val="006B3C30"/>
    <w:rsid w:val="006B50DF"/>
    <w:rsid w:val="006B5F45"/>
    <w:rsid w:val="006B7176"/>
    <w:rsid w:val="006B7470"/>
    <w:rsid w:val="006C06CA"/>
    <w:rsid w:val="006C1233"/>
    <w:rsid w:val="006C1293"/>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8A4"/>
    <w:rsid w:val="00710CE6"/>
    <w:rsid w:val="0071210B"/>
    <w:rsid w:val="00712F64"/>
    <w:rsid w:val="007131B7"/>
    <w:rsid w:val="007138EE"/>
    <w:rsid w:val="00714F53"/>
    <w:rsid w:val="00715A24"/>
    <w:rsid w:val="00717079"/>
    <w:rsid w:val="0072181E"/>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695"/>
    <w:rsid w:val="007C5446"/>
    <w:rsid w:val="007C54DE"/>
    <w:rsid w:val="007C762F"/>
    <w:rsid w:val="007C7A11"/>
    <w:rsid w:val="007D0A73"/>
    <w:rsid w:val="007D122D"/>
    <w:rsid w:val="007D1991"/>
    <w:rsid w:val="007D2120"/>
    <w:rsid w:val="007D2B13"/>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71D1"/>
    <w:rsid w:val="00860300"/>
    <w:rsid w:val="00860A59"/>
    <w:rsid w:val="00863814"/>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B4C"/>
    <w:rsid w:val="008E792C"/>
    <w:rsid w:val="008F008E"/>
    <w:rsid w:val="008F0A7E"/>
    <w:rsid w:val="008F10B9"/>
    <w:rsid w:val="008F14EE"/>
    <w:rsid w:val="008F1843"/>
    <w:rsid w:val="008F3600"/>
    <w:rsid w:val="008F416D"/>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CA3"/>
    <w:rsid w:val="00976DA2"/>
    <w:rsid w:val="00976FFB"/>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4E02"/>
    <w:rsid w:val="009A50B8"/>
    <w:rsid w:val="009A59C3"/>
    <w:rsid w:val="009A6FCF"/>
    <w:rsid w:val="009B0C53"/>
    <w:rsid w:val="009B149D"/>
    <w:rsid w:val="009B233A"/>
    <w:rsid w:val="009B2823"/>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5F3"/>
    <w:rsid w:val="00A64764"/>
    <w:rsid w:val="00A64874"/>
    <w:rsid w:val="00A655D1"/>
    <w:rsid w:val="00A65F95"/>
    <w:rsid w:val="00A665EE"/>
    <w:rsid w:val="00A66F51"/>
    <w:rsid w:val="00A671A4"/>
    <w:rsid w:val="00A676B1"/>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7E3"/>
    <w:rsid w:val="00A931FA"/>
    <w:rsid w:val="00A9365E"/>
    <w:rsid w:val="00A936CD"/>
    <w:rsid w:val="00A94D8C"/>
    <w:rsid w:val="00A95890"/>
    <w:rsid w:val="00A95CB9"/>
    <w:rsid w:val="00A96361"/>
    <w:rsid w:val="00AA0670"/>
    <w:rsid w:val="00AA0B10"/>
    <w:rsid w:val="00AA1BF2"/>
    <w:rsid w:val="00AA1C75"/>
    <w:rsid w:val="00AA24A4"/>
    <w:rsid w:val="00AA24C2"/>
    <w:rsid w:val="00AA292D"/>
    <w:rsid w:val="00AA41CD"/>
    <w:rsid w:val="00AA5761"/>
    <w:rsid w:val="00AA74EC"/>
    <w:rsid w:val="00AB13EF"/>
    <w:rsid w:val="00AB155E"/>
    <w:rsid w:val="00AB1728"/>
    <w:rsid w:val="00AB3C1E"/>
    <w:rsid w:val="00AB5D6B"/>
    <w:rsid w:val="00AB79AB"/>
    <w:rsid w:val="00AC1127"/>
    <w:rsid w:val="00AC3826"/>
    <w:rsid w:val="00AC383D"/>
    <w:rsid w:val="00AC5671"/>
    <w:rsid w:val="00AC6343"/>
    <w:rsid w:val="00AD0419"/>
    <w:rsid w:val="00AD1C2E"/>
    <w:rsid w:val="00AD2875"/>
    <w:rsid w:val="00AD4172"/>
    <w:rsid w:val="00AD4524"/>
    <w:rsid w:val="00AD6A9D"/>
    <w:rsid w:val="00AD6B43"/>
    <w:rsid w:val="00AD6E0F"/>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439A"/>
    <w:rsid w:val="00B6481A"/>
    <w:rsid w:val="00B668EA"/>
    <w:rsid w:val="00B6778D"/>
    <w:rsid w:val="00B704E1"/>
    <w:rsid w:val="00B71123"/>
    <w:rsid w:val="00B737FC"/>
    <w:rsid w:val="00B749B6"/>
    <w:rsid w:val="00B7553F"/>
    <w:rsid w:val="00B80288"/>
    <w:rsid w:val="00B81251"/>
    <w:rsid w:val="00B81A03"/>
    <w:rsid w:val="00B83072"/>
    <w:rsid w:val="00B83704"/>
    <w:rsid w:val="00B839EB"/>
    <w:rsid w:val="00B84225"/>
    <w:rsid w:val="00B8428D"/>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EEB"/>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66B4"/>
    <w:rsid w:val="00C16F50"/>
    <w:rsid w:val="00C17225"/>
    <w:rsid w:val="00C17D5B"/>
    <w:rsid w:val="00C17D98"/>
    <w:rsid w:val="00C21936"/>
    <w:rsid w:val="00C22506"/>
    <w:rsid w:val="00C2259A"/>
    <w:rsid w:val="00C230B9"/>
    <w:rsid w:val="00C23226"/>
    <w:rsid w:val="00C239F1"/>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2735"/>
    <w:rsid w:val="00C43CE1"/>
    <w:rsid w:val="00C44173"/>
    <w:rsid w:val="00C46D6B"/>
    <w:rsid w:val="00C46EDD"/>
    <w:rsid w:val="00C479AF"/>
    <w:rsid w:val="00C504DF"/>
    <w:rsid w:val="00C51EED"/>
    <w:rsid w:val="00C53490"/>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333"/>
    <w:rsid w:val="00C938B3"/>
    <w:rsid w:val="00C94C6F"/>
    <w:rsid w:val="00C95018"/>
    <w:rsid w:val="00C96215"/>
    <w:rsid w:val="00C97294"/>
    <w:rsid w:val="00CA01B9"/>
    <w:rsid w:val="00CA0897"/>
    <w:rsid w:val="00CA0CED"/>
    <w:rsid w:val="00CA436A"/>
    <w:rsid w:val="00CA5033"/>
    <w:rsid w:val="00CA5456"/>
    <w:rsid w:val="00CA5932"/>
    <w:rsid w:val="00CA5C76"/>
    <w:rsid w:val="00CA6902"/>
    <w:rsid w:val="00CA6D10"/>
    <w:rsid w:val="00CA7042"/>
    <w:rsid w:val="00CB036C"/>
    <w:rsid w:val="00CB04A0"/>
    <w:rsid w:val="00CB1562"/>
    <w:rsid w:val="00CB2A2E"/>
    <w:rsid w:val="00CB3264"/>
    <w:rsid w:val="00CB3EB3"/>
    <w:rsid w:val="00CB422C"/>
    <w:rsid w:val="00CB5113"/>
    <w:rsid w:val="00CB5BD3"/>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C4F"/>
    <w:rsid w:val="00D25FF8"/>
    <w:rsid w:val="00D30589"/>
    <w:rsid w:val="00D309AC"/>
    <w:rsid w:val="00D31293"/>
    <w:rsid w:val="00D32455"/>
    <w:rsid w:val="00D328E7"/>
    <w:rsid w:val="00D32A30"/>
    <w:rsid w:val="00D35129"/>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608D"/>
    <w:rsid w:val="00F060DB"/>
    <w:rsid w:val="00F0684B"/>
    <w:rsid w:val="00F071EF"/>
    <w:rsid w:val="00F10E1C"/>
    <w:rsid w:val="00F112DF"/>
    <w:rsid w:val="00F11B89"/>
    <w:rsid w:val="00F11D32"/>
    <w:rsid w:val="00F12B14"/>
    <w:rsid w:val="00F137F7"/>
    <w:rsid w:val="00F14A45"/>
    <w:rsid w:val="00F14BF8"/>
    <w:rsid w:val="00F15264"/>
    <w:rsid w:val="00F15D09"/>
    <w:rsid w:val="00F2277B"/>
    <w:rsid w:val="00F22BDA"/>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3011"/>
    <w:rsid w:val="00F534B1"/>
    <w:rsid w:val="00F54396"/>
    <w:rsid w:val="00F55B37"/>
    <w:rsid w:val="00F5701B"/>
    <w:rsid w:val="00F572B8"/>
    <w:rsid w:val="00F57AB4"/>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7CA0"/>
    <w:rsid w:val="00F928BC"/>
    <w:rsid w:val="00F9314D"/>
    <w:rsid w:val="00F94805"/>
    <w:rsid w:val="00F94BB1"/>
    <w:rsid w:val="00F969D7"/>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E03AA"/>
    <w:rsid w:val="00FE102C"/>
    <w:rsid w:val="00FE1487"/>
    <w:rsid w:val="00FE2CFC"/>
    <w:rsid w:val="00FE3B8E"/>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E3CCE-25BE-4DCD-B406-EBE34DFA8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Links>
    <vt:vector size="198" baseType="variant">
      <vt:variant>
        <vt:i4>2031669</vt:i4>
      </vt:variant>
      <vt:variant>
        <vt:i4>125</vt:i4>
      </vt:variant>
      <vt:variant>
        <vt:i4>0</vt:i4>
      </vt:variant>
      <vt:variant>
        <vt:i4>5</vt:i4>
      </vt:variant>
      <vt:variant>
        <vt:lpwstr/>
      </vt:variant>
      <vt:variant>
        <vt:lpwstr>_Toc67671149</vt:lpwstr>
      </vt:variant>
      <vt:variant>
        <vt:i4>1966133</vt:i4>
      </vt:variant>
      <vt:variant>
        <vt:i4>122</vt:i4>
      </vt:variant>
      <vt:variant>
        <vt:i4>0</vt:i4>
      </vt:variant>
      <vt:variant>
        <vt:i4>5</vt:i4>
      </vt:variant>
      <vt:variant>
        <vt:lpwstr/>
      </vt:variant>
      <vt:variant>
        <vt:lpwstr>_Toc67671148</vt:lpwstr>
      </vt:variant>
      <vt:variant>
        <vt:i4>1114165</vt:i4>
      </vt:variant>
      <vt:variant>
        <vt:i4>119</vt:i4>
      </vt:variant>
      <vt:variant>
        <vt:i4>0</vt:i4>
      </vt:variant>
      <vt:variant>
        <vt:i4>5</vt:i4>
      </vt:variant>
      <vt:variant>
        <vt:lpwstr/>
      </vt:variant>
      <vt:variant>
        <vt:lpwstr>_Toc67671147</vt:lpwstr>
      </vt:variant>
      <vt:variant>
        <vt:i4>1048629</vt:i4>
      </vt:variant>
      <vt:variant>
        <vt:i4>116</vt:i4>
      </vt:variant>
      <vt:variant>
        <vt:i4>0</vt:i4>
      </vt:variant>
      <vt:variant>
        <vt:i4>5</vt:i4>
      </vt:variant>
      <vt:variant>
        <vt:lpwstr/>
      </vt:variant>
      <vt:variant>
        <vt:lpwstr>_Toc67671146</vt:lpwstr>
      </vt:variant>
      <vt:variant>
        <vt:i4>1245237</vt:i4>
      </vt:variant>
      <vt:variant>
        <vt:i4>113</vt:i4>
      </vt:variant>
      <vt:variant>
        <vt:i4>0</vt:i4>
      </vt:variant>
      <vt:variant>
        <vt:i4>5</vt:i4>
      </vt:variant>
      <vt:variant>
        <vt:lpwstr/>
      </vt:variant>
      <vt:variant>
        <vt:lpwstr>_Toc67671145</vt:lpwstr>
      </vt:variant>
      <vt:variant>
        <vt:i4>1179701</vt:i4>
      </vt:variant>
      <vt:variant>
        <vt:i4>110</vt:i4>
      </vt:variant>
      <vt:variant>
        <vt:i4>0</vt:i4>
      </vt:variant>
      <vt:variant>
        <vt:i4>5</vt:i4>
      </vt:variant>
      <vt:variant>
        <vt:lpwstr/>
      </vt:variant>
      <vt:variant>
        <vt:lpwstr>_Toc67671144</vt:lpwstr>
      </vt:variant>
      <vt:variant>
        <vt:i4>1376309</vt:i4>
      </vt:variant>
      <vt:variant>
        <vt:i4>107</vt:i4>
      </vt:variant>
      <vt:variant>
        <vt:i4>0</vt:i4>
      </vt:variant>
      <vt:variant>
        <vt:i4>5</vt:i4>
      </vt:variant>
      <vt:variant>
        <vt:lpwstr/>
      </vt:variant>
      <vt:variant>
        <vt:lpwstr>_Toc67671143</vt:lpwstr>
      </vt:variant>
      <vt:variant>
        <vt:i4>1310773</vt:i4>
      </vt:variant>
      <vt:variant>
        <vt:i4>104</vt:i4>
      </vt:variant>
      <vt:variant>
        <vt:i4>0</vt:i4>
      </vt:variant>
      <vt:variant>
        <vt:i4>5</vt:i4>
      </vt:variant>
      <vt:variant>
        <vt:lpwstr/>
      </vt:variant>
      <vt:variant>
        <vt:lpwstr>_Toc67671142</vt:lpwstr>
      </vt:variant>
      <vt:variant>
        <vt:i4>1507381</vt:i4>
      </vt:variant>
      <vt:variant>
        <vt:i4>101</vt:i4>
      </vt:variant>
      <vt:variant>
        <vt:i4>0</vt:i4>
      </vt:variant>
      <vt:variant>
        <vt:i4>5</vt:i4>
      </vt:variant>
      <vt:variant>
        <vt:lpwstr/>
      </vt:variant>
      <vt:variant>
        <vt:lpwstr>_Toc67671141</vt:lpwstr>
      </vt:variant>
      <vt:variant>
        <vt:i4>1441845</vt:i4>
      </vt:variant>
      <vt:variant>
        <vt:i4>98</vt:i4>
      </vt:variant>
      <vt:variant>
        <vt:i4>0</vt:i4>
      </vt:variant>
      <vt:variant>
        <vt:i4>5</vt:i4>
      </vt:variant>
      <vt:variant>
        <vt:lpwstr/>
      </vt:variant>
      <vt:variant>
        <vt:lpwstr>_Toc67671140</vt:lpwstr>
      </vt:variant>
      <vt:variant>
        <vt:i4>2031666</vt:i4>
      </vt:variant>
      <vt:variant>
        <vt:i4>92</vt:i4>
      </vt:variant>
      <vt:variant>
        <vt:i4>0</vt:i4>
      </vt:variant>
      <vt:variant>
        <vt:i4>5</vt:i4>
      </vt:variant>
      <vt:variant>
        <vt:lpwstr/>
      </vt:variant>
      <vt:variant>
        <vt:lpwstr>_Toc67671139</vt:lpwstr>
      </vt:variant>
      <vt:variant>
        <vt:i4>1966130</vt:i4>
      </vt:variant>
      <vt:variant>
        <vt:i4>89</vt:i4>
      </vt:variant>
      <vt:variant>
        <vt:i4>0</vt:i4>
      </vt:variant>
      <vt:variant>
        <vt:i4>5</vt:i4>
      </vt:variant>
      <vt:variant>
        <vt:lpwstr/>
      </vt:variant>
      <vt:variant>
        <vt:lpwstr>_Toc67671138</vt:lpwstr>
      </vt:variant>
      <vt:variant>
        <vt:i4>1114162</vt:i4>
      </vt:variant>
      <vt:variant>
        <vt:i4>86</vt:i4>
      </vt:variant>
      <vt:variant>
        <vt:i4>0</vt:i4>
      </vt:variant>
      <vt:variant>
        <vt:i4>5</vt:i4>
      </vt:variant>
      <vt:variant>
        <vt:lpwstr/>
      </vt:variant>
      <vt:variant>
        <vt:lpwstr>_Toc67671137</vt:lpwstr>
      </vt:variant>
      <vt:variant>
        <vt:i4>1048626</vt:i4>
      </vt:variant>
      <vt:variant>
        <vt:i4>83</vt:i4>
      </vt:variant>
      <vt:variant>
        <vt:i4>0</vt:i4>
      </vt:variant>
      <vt:variant>
        <vt:i4>5</vt:i4>
      </vt:variant>
      <vt:variant>
        <vt:lpwstr/>
      </vt:variant>
      <vt:variant>
        <vt:lpwstr>_Toc67671136</vt:lpwstr>
      </vt:variant>
      <vt:variant>
        <vt:i4>1245234</vt:i4>
      </vt:variant>
      <vt:variant>
        <vt:i4>80</vt:i4>
      </vt:variant>
      <vt:variant>
        <vt:i4>0</vt:i4>
      </vt:variant>
      <vt:variant>
        <vt:i4>5</vt:i4>
      </vt:variant>
      <vt:variant>
        <vt:lpwstr/>
      </vt:variant>
      <vt:variant>
        <vt:lpwstr>_Toc67671135</vt:lpwstr>
      </vt:variant>
      <vt:variant>
        <vt:i4>1179698</vt:i4>
      </vt:variant>
      <vt:variant>
        <vt:i4>77</vt:i4>
      </vt:variant>
      <vt:variant>
        <vt:i4>0</vt:i4>
      </vt:variant>
      <vt:variant>
        <vt:i4>5</vt:i4>
      </vt:variant>
      <vt:variant>
        <vt:lpwstr/>
      </vt:variant>
      <vt:variant>
        <vt:lpwstr>_Toc67671134</vt:lpwstr>
      </vt:variant>
      <vt:variant>
        <vt:i4>1376306</vt:i4>
      </vt:variant>
      <vt:variant>
        <vt:i4>74</vt:i4>
      </vt:variant>
      <vt:variant>
        <vt:i4>0</vt:i4>
      </vt:variant>
      <vt:variant>
        <vt:i4>5</vt:i4>
      </vt:variant>
      <vt:variant>
        <vt:lpwstr/>
      </vt:variant>
      <vt:variant>
        <vt:lpwstr>_Toc67671133</vt:lpwstr>
      </vt:variant>
      <vt:variant>
        <vt:i4>1310770</vt:i4>
      </vt:variant>
      <vt:variant>
        <vt:i4>71</vt:i4>
      </vt:variant>
      <vt:variant>
        <vt:i4>0</vt:i4>
      </vt:variant>
      <vt:variant>
        <vt:i4>5</vt:i4>
      </vt:variant>
      <vt:variant>
        <vt:lpwstr/>
      </vt:variant>
      <vt:variant>
        <vt:lpwstr>_Toc67671132</vt:lpwstr>
      </vt:variant>
      <vt:variant>
        <vt:i4>1507378</vt:i4>
      </vt:variant>
      <vt:variant>
        <vt:i4>68</vt:i4>
      </vt:variant>
      <vt:variant>
        <vt:i4>0</vt:i4>
      </vt:variant>
      <vt:variant>
        <vt:i4>5</vt:i4>
      </vt:variant>
      <vt:variant>
        <vt:lpwstr/>
      </vt:variant>
      <vt:variant>
        <vt:lpwstr>_Toc67671131</vt:lpwstr>
      </vt:variant>
      <vt:variant>
        <vt:i4>1441842</vt:i4>
      </vt:variant>
      <vt:variant>
        <vt:i4>65</vt:i4>
      </vt:variant>
      <vt:variant>
        <vt:i4>0</vt:i4>
      </vt:variant>
      <vt:variant>
        <vt:i4>5</vt:i4>
      </vt:variant>
      <vt:variant>
        <vt:lpwstr/>
      </vt:variant>
      <vt:variant>
        <vt:lpwstr>_Toc67671130</vt:lpwstr>
      </vt:variant>
      <vt:variant>
        <vt:i4>2031667</vt:i4>
      </vt:variant>
      <vt:variant>
        <vt:i4>62</vt:i4>
      </vt:variant>
      <vt:variant>
        <vt:i4>0</vt:i4>
      </vt:variant>
      <vt:variant>
        <vt:i4>5</vt:i4>
      </vt:variant>
      <vt:variant>
        <vt:lpwstr/>
      </vt:variant>
      <vt:variant>
        <vt:lpwstr>_Toc67671129</vt:lpwstr>
      </vt:variant>
      <vt:variant>
        <vt:i4>1966131</vt:i4>
      </vt:variant>
      <vt:variant>
        <vt:i4>59</vt:i4>
      </vt:variant>
      <vt:variant>
        <vt:i4>0</vt:i4>
      </vt:variant>
      <vt:variant>
        <vt:i4>5</vt:i4>
      </vt:variant>
      <vt:variant>
        <vt:lpwstr/>
      </vt:variant>
      <vt:variant>
        <vt:lpwstr>_Toc67671128</vt:lpwstr>
      </vt:variant>
      <vt:variant>
        <vt:i4>1114163</vt:i4>
      </vt:variant>
      <vt:variant>
        <vt:i4>56</vt:i4>
      </vt:variant>
      <vt:variant>
        <vt:i4>0</vt:i4>
      </vt:variant>
      <vt:variant>
        <vt:i4>5</vt:i4>
      </vt:variant>
      <vt:variant>
        <vt:lpwstr/>
      </vt:variant>
      <vt:variant>
        <vt:lpwstr>_Toc67671127</vt:lpwstr>
      </vt:variant>
      <vt:variant>
        <vt:i4>1048627</vt:i4>
      </vt:variant>
      <vt:variant>
        <vt:i4>53</vt:i4>
      </vt:variant>
      <vt:variant>
        <vt:i4>0</vt:i4>
      </vt:variant>
      <vt:variant>
        <vt:i4>5</vt:i4>
      </vt:variant>
      <vt:variant>
        <vt:lpwstr/>
      </vt:variant>
      <vt:variant>
        <vt:lpwstr>_Toc67671126</vt:lpwstr>
      </vt:variant>
      <vt:variant>
        <vt:i4>1245235</vt:i4>
      </vt:variant>
      <vt:variant>
        <vt:i4>50</vt:i4>
      </vt:variant>
      <vt:variant>
        <vt:i4>0</vt:i4>
      </vt:variant>
      <vt:variant>
        <vt:i4>5</vt:i4>
      </vt:variant>
      <vt:variant>
        <vt:lpwstr/>
      </vt:variant>
      <vt:variant>
        <vt:lpwstr>_Toc67671125</vt:lpwstr>
      </vt:variant>
      <vt:variant>
        <vt:i4>1179699</vt:i4>
      </vt:variant>
      <vt:variant>
        <vt:i4>47</vt:i4>
      </vt:variant>
      <vt:variant>
        <vt:i4>0</vt:i4>
      </vt:variant>
      <vt:variant>
        <vt:i4>5</vt:i4>
      </vt:variant>
      <vt:variant>
        <vt:lpwstr/>
      </vt:variant>
      <vt:variant>
        <vt:lpwstr>_Toc67671124</vt:lpwstr>
      </vt:variant>
      <vt:variant>
        <vt:i4>1376307</vt:i4>
      </vt:variant>
      <vt:variant>
        <vt:i4>44</vt:i4>
      </vt:variant>
      <vt:variant>
        <vt:i4>0</vt:i4>
      </vt:variant>
      <vt:variant>
        <vt:i4>5</vt:i4>
      </vt:variant>
      <vt:variant>
        <vt:lpwstr/>
      </vt:variant>
      <vt:variant>
        <vt:lpwstr>_Toc67671123</vt:lpwstr>
      </vt:variant>
      <vt:variant>
        <vt:i4>1310771</vt:i4>
      </vt:variant>
      <vt:variant>
        <vt:i4>41</vt:i4>
      </vt:variant>
      <vt:variant>
        <vt:i4>0</vt:i4>
      </vt:variant>
      <vt:variant>
        <vt:i4>5</vt:i4>
      </vt:variant>
      <vt:variant>
        <vt:lpwstr/>
      </vt:variant>
      <vt:variant>
        <vt:lpwstr>_Toc67671122</vt:lpwstr>
      </vt:variant>
      <vt:variant>
        <vt:i4>1507379</vt:i4>
      </vt:variant>
      <vt:variant>
        <vt:i4>38</vt:i4>
      </vt:variant>
      <vt:variant>
        <vt:i4>0</vt:i4>
      </vt:variant>
      <vt:variant>
        <vt:i4>5</vt:i4>
      </vt:variant>
      <vt:variant>
        <vt:lpwstr/>
      </vt:variant>
      <vt:variant>
        <vt:lpwstr>_Toc67671121</vt:lpwstr>
      </vt:variant>
      <vt:variant>
        <vt:i4>1441843</vt:i4>
      </vt:variant>
      <vt:variant>
        <vt:i4>35</vt:i4>
      </vt:variant>
      <vt:variant>
        <vt:i4>0</vt:i4>
      </vt:variant>
      <vt:variant>
        <vt:i4>5</vt:i4>
      </vt:variant>
      <vt:variant>
        <vt:lpwstr/>
      </vt:variant>
      <vt:variant>
        <vt:lpwstr>_Toc67671120</vt:lpwstr>
      </vt:variant>
      <vt:variant>
        <vt:i4>2031664</vt:i4>
      </vt:variant>
      <vt:variant>
        <vt:i4>32</vt:i4>
      </vt:variant>
      <vt:variant>
        <vt:i4>0</vt:i4>
      </vt:variant>
      <vt:variant>
        <vt:i4>5</vt:i4>
      </vt:variant>
      <vt:variant>
        <vt:lpwstr/>
      </vt:variant>
      <vt:variant>
        <vt:lpwstr>_Toc67671119</vt:lpwstr>
      </vt:variant>
      <vt:variant>
        <vt:i4>1966128</vt:i4>
      </vt:variant>
      <vt:variant>
        <vt:i4>29</vt:i4>
      </vt:variant>
      <vt:variant>
        <vt:i4>0</vt:i4>
      </vt:variant>
      <vt:variant>
        <vt:i4>5</vt:i4>
      </vt:variant>
      <vt:variant>
        <vt:lpwstr/>
      </vt:variant>
      <vt:variant>
        <vt:lpwstr>_Toc67671118</vt:lpwstr>
      </vt:variant>
      <vt:variant>
        <vt:i4>1114160</vt:i4>
      </vt:variant>
      <vt:variant>
        <vt:i4>26</vt:i4>
      </vt:variant>
      <vt:variant>
        <vt:i4>0</vt:i4>
      </vt:variant>
      <vt:variant>
        <vt:i4>5</vt:i4>
      </vt:variant>
      <vt:variant>
        <vt:lpwstr/>
      </vt:variant>
      <vt:variant>
        <vt:lpwstr>_Toc67671117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2021-05-11T18:52:00Z</dcterms:created>
  <dcterms:modified xsi:type="dcterms:W3CDTF">2021-05-11T18:54:00Z</dcterms:modified>
</cp:coreProperties>
</file>